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single"/>
        </w:rPr>
        <w:t>TERMO DE REFERÊNCIA – LEI 14.133/21  de 01 de abril de 2021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iCs/>
          <w:color w:val="000000"/>
          <w:sz w:val="20"/>
          <w:szCs w:val="20"/>
        </w:rPr>
        <w:t>AQUISIÇÃO DE MATERIAIS DIVERSOS DE CONSTRUÇÃO</w:t>
      </w:r>
      <w:r>
        <w:rPr>
          <w:rFonts w:eastAsia="Arial" w:cs="Arial" w:ascii="Verdana" w:hAnsi="Verdana"/>
          <w:b/>
          <w:bCs/>
          <w:i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PARA ATENDIMENTO DAS NECESSIDADES DE MANUTENÇÃO CORRETIVA E PREVENTIVA E REPAROS GERAIS PARA OS BENS PATRIMONIAIS DA PREFEITURA MUNICIPAL DE SÃO GABRIEL DA PALHA.</w:t>
      </w:r>
    </w:p>
    <w:p>
      <w:pPr>
        <w:pStyle w:val="Normal"/>
        <w:spacing w:lineRule="auto" w:line="240"/>
        <w:jc w:val="center"/>
        <w:rPr>
          <w:rFonts w:ascii="Verdana" w:hAnsi="Verdana" w:eastAsia="Arial" w:cs="Arial"/>
          <w:b/>
          <w:bCs/>
          <w:iCs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/>
          <w:bCs/>
          <w:iCs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002284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/2025 de 26 de maio de 2025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Secretaria Municipal de Obras  e Desenvolvimento Urbano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240"/>
        <w:ind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1.1. Registro de preços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para a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quisição de materiais diversos de construção, para atendimento das necessidades de manutenção corretiva e preventiva e reparos gerais dos bens patrimoniais da Prefeitura Municipal de São Gabriel da Palha,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em atendimento as necessidades da Secretaria Municipal de Obras e Desenvolvimento Urbano,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conforme condições e exigências estabelecidas neste instrumento e no ETP e DFD elaborado pela requente.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/>
        <w:ind w:right="0" w:hanging="0"/>
        <w:jc w:val="both"/>
        <w:rPr>
          <w:color w:val="00000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tbl>
      <w:tblPr>
        <w:tblW w:w="10200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48"/>
        <w:gridCol w:w="3169"/>
        <w:gridCol w:w="1416"/>
        <w:gridCol w:w="967"/>
        <w:gridCol w:w="1983"/>
        <w:gridCol w:w="1916"/>
      </w:tblGrid>
      <w:tr>
        <w:trPr>
          <w:trHeight w:val="269" w:hRule="atLeast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Mão de obra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estimado unitário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estimado total</w:t>
            </w:r>
          </w:p>
        </w:tc>
      </w:tr>
      <w:tr>
        <w:trPr>
          <w:trHeight w:val="121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Massa epoxi bicomponente (massa 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+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Catalizador)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73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73" w:after="0"/>
              <w:ind w:left="171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40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73" w:after="0"/>
              <w:ind w:left="0" w:right="47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R$ 118,15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73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R$ 4.726,00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Adesivo estrutural a base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sz w:val="20"/>
                <w:szCs w:val="20"/>
              </w:rPr>
              <w:t>Resina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epoxi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para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injeção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 trincas,</w:t>
            </w:r>
            <w:r>
              <w:rPr>
                <w:rFonts w:ascii="Verdana" w:hAnsi="Verdan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bicomponente,</w:t>
            </w:r>
            <w:r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baixa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viscosidade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19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28" w:right="54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19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71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19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47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R$ 156,40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19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R$ 4.692,00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Manta asfaltica elastomerica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sz w:val="20"/>
                <w:szCs w:val="20"/>
              </w:rPr>
              <w:t xml:space="preserve">Poliéster 3 mm, tipo iii, classe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b, </w:t>
            </w:r>
            <w:r>
              <w:rPr>
                <w:rFonts w:ascii="Verdana" w:hAnsi="Verdana"/>
                <w:sz w:val="20"/>
                <w:szCs w:val="20"/>
              </w:rPr>
              <w:t xml:space="preserve">Acabamento pp (nbr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9952)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37" w:right="31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M²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R$ 62,65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6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R$ 31.325,00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Bandeja de pintura para rolo 23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cm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R$ 11,20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R$ 1.120,00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Estopa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54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171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R$ 19,55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48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R$ 977,50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Fundo anticorrosivo para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metais </w:t>
            </w:r>
            <w:r>
              <w:rPr>
                <w:rFonts w:ascii="Verdana" w:hAnsi="Verdana"/>
                <w:sz w:val="20"/>
                <w:szCs w:val="20"/>
              </w:rPr>
              <w:t xml:space="preserve">Ferrosos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(zarcao)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6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6" w:after="0"/>
              <w:ind w:left="171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6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R$ 48,13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6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R$ 2.406,50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Lixa em folha para ferro,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numero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2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R$ 4,840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R$ 1.452,00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Lixa em folha para parede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ou </w:t>
            </w:r>
            <w:r>
              <w:rPr>
                <w:rFonts w:ascii="Verdana" w:hAnsi="Verdana"/>
                <w:sz w:val="20"/>
                <w:szCs w:val="20"/>
              </w:rPr>
              <w:t xml:space="preserve">Madeira, numero 120 (cor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vermelha)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0" w:right="2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R$ 1,66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0" w:right="48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R$ 830,00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Solvente diluente a base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Aguarras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R$ 19,96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R$ 5.988,00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Tinta acrílica premium, cor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900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R$ 26,07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6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R$ 23.463,00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Tinta acrílica premium, demais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900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R$ 26,07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6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R$ 23.463,00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Tinta esmalte sintético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premium Acetinado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R$ 47,68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6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R$ 14.304,00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Tinta esmalte sintético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premium Brilhante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R$ 34,39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83" w:after="0"/>
              <w:ind w:left="0" w:right="6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R$ 10.317,00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Tinta esmalte sintético premium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fosco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R$ 31,75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R$ 9.525,00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Verniz sintético brilhante </w:t>
            </w:r>
            <w:r>
              <w:rPr>
                <w:rFonts w:ascii="Verdana" w:hAnsi="Verdana"/>
                <w:spacing w:val="-4"/>
                <w:sz w:val="20"/>
                <w:szCs w:val="20"/>
              </w:rPr>
              <w:t xml:space="preserve">para </w:t>
            </w:r>
            <w:r>
              <w:rPr>
                <w:rFonts w:ascii="Verdana" w:hAnsi="Verdana"/>
                <w:sz w:val="20"/>
                <w:szCs w:val="20"/>
              </w:rPr>
              <w:t>Madeira, com filtro solar, uso interno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externo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(base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solvente)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21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21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171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60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21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R$ 37,35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21" w:after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R$ 2.241,00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Rolo de la de carneiro 23 cm </w:t>
            </w:r>
            <w:r>
              <w:rPr>
                <w:rFonts w:ascii="Verdana" w:hAnsi="Verdana"/>
                <w:spacing w:val="-4"/>
                <w:sz w:val="20"/>
                <w:szCs w:val="20"/>
              </w:rPr>
              <w:t xml:space="preserve">(sem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Cabo)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R$ 40,42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06" w:after="0"/>
              <w:ind w:left="0" w:right="5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R$ 6.063,00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6" w:after="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Pincel chato (trincha) cerdas </w:t>
            </w:r>
            <w:r>
              <w:rPr>
                <w:rFonts w:ascii="Verdana" w:hAnsi="Verdana"/>
                <w:spacing w:val="-4"/>
                <w:sz w:val="20"/>
                <w:szCs w:val="20"/>
              </w:rPr>
              <w:t xml:space="preserve">gris </w:t>
            </w:r>
            <w:r>
              <w:rPr>
                <w:rFonts w:ascii="Verdana" w:hAnsi="Verdana"/>
                <w:sz w:val="20"/>
                <w:szCs w:val="20"/>
              </w:rPr>
              <w:t xml:space="preserve">1.1/2 " (38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mm)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26" w:after="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26" w:after="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26" w:after="0"/>
              <w:ind w:left="0" w:right="2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R$ 5,50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26" w:after="0"/>
              <w:ind w:left="0" w:right="58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R$ 825,00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Fita crepe rolo de 25 mm x 50 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>m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59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150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R$ 13,05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65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R$ 1.957,50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Thinner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R$ 20,97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7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R$ 10.485,00</w:t>
            </w:r>
          </w:p>
        </w:tc>
      </w:tr>
      <w:tr>
        <w:trPr>
          <w:trHeight w:val="269" w:hRule="atLeast"/>
        </w:trPr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Selador acrílico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28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6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900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R$ 20,030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76" w:hanging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R$ 18.027,00</w:t>
            </w:r>
          </w:p>
        </w:tc>
      </w:tr>
      <w:tr>
        <w:trPr>
          <w:trHeight w:val="269" w:hRule="atLeast"/>
        </w:trPr>
        <w:tc>
          <w:tcPr>
            <w:tcW w:w="101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ESTIMADO TOTAL.  R$ 174.187,50 (cento e setenta e quatro mil cento e oitenta e sete reais e cinquenta centavos)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1.2. O prazo de vigência da contratação será de 12 (doze) meses contados do(a) 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0"/>
          <w:szCs w:val="20"/>
          <w:lang w:val="pt-BR" w:eastAsia="pt-BR" w:bidi="ar-SA"/>
        </w:rPr>
        <w:t>da Ata de Registro de Preços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O custo estimado total da contratação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R$ 174.187,50 (cento e setenta e quatro mil cento e oitenta e sete reais e cinquenta centavos),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Para fins de classificação, será considerado o menor preço por item.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conforme custos unitários apostos nas planilhas includas nos autos pela requerente e no quadro comparativo de preços simples em anexo.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40"/>
        <w:ind w:left="0" w:right="0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2. DESCRIÇÃO DA NECESSIDADE DA CONTRATAÇÃO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sz w:val="20"/>
          <w:szCs w:val="20"/>
        </w:rPr>
        <w:t>2.1. 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sz w:val="20"/>
          <w:szCs w:val="20"/>
        </w:rPr>
        <w:t xml:space="preserve">2.2. </w:t>
      </w:r>
      <w:r>
        <w:rPr>
          <w:rFonts w:eastAsia="Arial" w:cs="Times New Roman" w:ascii="Verdana" w:hAnsi="Verdana"/>
          <w:b w:val="false"/>
          <w:bCs w:val="false"/>
          <w:i w:val="false"/>
          <w:iCs w:val="false"/>
          <w:color w:val="auto"/>
          <w:sz w:val="20"/>
          <w:szCs w:val="20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sz w:val="20"/>
          <w:szCs w:val="20"/>
        </w:rPr>
        <w:t>2.3. R</w:t>
      </w:r>
      <w:r>
        <w:rPr>
          <w:rFonts w:eastAsia="Arial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35" w:leader="none"/>
        </w:tabs>
        <w:spacing w:lineRule="auto" w:line="240"/>
        <w:ind w:left="0" w:right="0" w:hanging="0"/>
        <w:jc w:val="both"/>
        <w:rPr>
          <w:rFonts w:ascii="Verdana" w:hAnsi="Verdana" w:eastAsia="Arial" w:cs="Arial"/>
          <w:b/>
          <w:bCs/>
          <w:color w:val="000000"/>
          <w:sz w:val="20"/>
          <w:szCs w:val="20"/>
          <w:shd w:fill="auto" w:val="clear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  <w:shd w:fill="auto" w:val="clear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35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shd w:fill="auto" w:val="clear"/>
        </w:rPr>
        <w:t>3. DESCRIÇÃO DA SOLUÇÃO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3.1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0"/>
          <w:szCs w:val="20"/>
          <w:highlight w:val="none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shd w:fill="auto" w:val="clear"/>
        </w:rPr>
        <w:t>4.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4.1</w:t>
      </w:r>
      <w:r>
        <w:rPr>
          <w:rFonts w:ascii="Verdana" w:hAnsi="Verdana"/>
          <w:b w:val="false"/>
          <w:bCs w:val="false"/>
          <w:sz w:val="20"/>
          <w:szCs w:val="20"/>
        </w:rPr>
        <w:t>. O</w:t>
      </w:r>
      <w:r>
        <w:rPr>
          <w:rFonts w:ascii="Verdana" w:hAnsi="Verdana"/>
          <w:sz w:val="20"/>
          <w:szCs w:val="20"/>
        </w:rPr>
        <w:t xml:space="preserve"> produto deverá ser entregue nas mesmas marcas indicadas nas propostas de </w:t>
      </w:r>
      <w:r>
        <w:rPr>
          <w:rFonts w:ascii="Verdana" w:hAnsi="Verdana"/>
          <w:b w:val="false"/>
          <w:bCs w:val="false"/>
          <w:sz w:val="20"/>
          <w:szCs w:val="20"/>
        </w:rPr>
        <w:t>preços vencedoras do certame;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4.2. Os produtos a serem entregues deverão ser de ótima qualidade, atender às especificações técnicas exigidas e obedecer rigorosamente: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a) às normas e especificações constantes neste Termo de Referência;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c) às normas internacionais consagradas, na falta das normas da ABNT;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d) às prescrições e recomendações dos fabricantes;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4.3.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4.4. Constatadas irregularidades nos entrega, a Prefeitura Municipal de São Gabriel da Palha poderá: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4.4.1.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4.4.2. Se disser respeito à diferença de quantidade ou de partes, determinar sua complementação ou cancelar em parte ou totalmente a ordem de fornecimento, sem prejuízo das penalidades cabíveis;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FFFFFF" w:val="clear"/>
        </w:rPr>
        <w:t>4.5. Não serão aceitos materiais fora das especificações constantes neste Termo de Referência.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4.6. OS MATERIAIS DEVERÃO SER ENTREGUES NO PARQUE DE ARTEFATOS E OFICINA MECÂNICA.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4.7.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4.8.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4.8.1.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4.8.2. 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shd w:fill="auto" w:val="clear"/>
        </w:rPr>
        <w:t xml:space="preserve">5. MODELO DE EXECUÇÃO CONTRATUAL 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5.1. O prazo de vigência da ata de registro de preços será de 12 (doze) meses </w:t>
      </w:r>
      <w:r>
        <w:rPr>
          <w:rFonts w:cs="Arial" w:ascii="Verdana" w:hAnsi="Verdana"/>
          <w:bCs/>
          <w:iCs/>
          <w:color w:val="000000"/>
          <w:sz w:val="20"/>
          <w:szCs w:val="20"/>
          <w:shd w:fill="auto" w:val="clear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da Ata de Registro de Preços. A entrega será 15 dias 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apos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 de compras/execução emitida pelo Departamento de Compras e Contratos.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LOCAL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Rua: Daniel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Comboni </w:t>
      </w:r>
      <w:r>
        <w:rPr>
          <w:rFonts w:cs="Arial" w:ascii="Verdana" w:hAnsi="Verdana"/>
          <w:b w:val="false"/>
          <w:bCs w:val="false"/>
          <w:sz w:val="20"/>
          <w:szCs w:val="20"/>
        </w:rPr>
        <w:t>– Bairro Vila Comboni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Departamento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Parque de Artefatos e Oficina Mecânica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5.3.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Tel: (27) 99982-4121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0"/>
          <w:szCs w:val="20"/>
        </w:rPr>
        <w:t>@saogabriel.es.gov.br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Responsável: 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 e Desenvolvimento Urbano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5.4. A ata de registro de preços deverá ser executada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5.5.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5.6. O órgão ou entidade poderá convocar representante da empresa para adoção de providências que devam ser cumpridas de imediato.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5.7.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 a fim de zelar pela qualidade e quantidade dos materiais entregues.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ivel1"/>
        <w:spacing w:lineRule="auto" w:line="240" w:before="0" w:after="0"/>
        <w:ind w:left="0" w:right="0" w:hanging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color w:val="000000"/>
          <w:sz w:val="20"/>
          <w:szCs w:val="20"/>
        </w:rPr>
        <w:t>6. MODELO DE GESTÃO DO CONTRATO/ATA DE REGISTRO DE PREÇOS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6.1. ROTINAS DE FISCALIZAÇÃO CONTRATUAL</w:t>
      </w:r>
    </w:p>
    <w:p>
      <w:pPr>
        <w:pStyle w:val="Nivel2"/>
        <w:spacing w:lineRule="auto" w:line="240" w:before="0" w:after="0"/>
        <w:ind w:left="0" w:right="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6.1.1. </w:t>
      </w: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</w:rPr>
        <w:t>A contratação será formalizada com a assinatura de Ata de Registro de preços.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6.1.2. A entrega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0"/>
          <w:szCs w:val="20"/>
        </w:rPr>
        <w:t>dos itens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0"/>
          <w:szCs w:val="20"/>
        </w:rPr>
        <w:t>da secretaria requisitante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, a fim de zelar pela qualidade e quantidade dos itens a serem adquiridos.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6.1.4. Somente o contratado será responsável pelos encargos trabalhistas, previdenciários, fiscais e comerciais resultantes da entrega dos materiais.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240" w:before="0" w:after="0"/>
        <w:ind w:left="0" w:right="0" w:hanging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ListParagraph"/>
        <w:spacing w:lineRule="auto" w:line="240"/>
        <w:ind w:left="-22" w:right="0" w:hanging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7. OBRIGAÇÕES DA CONTRATANTE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0" w:after="0"/>
        <w:ind w:left="0" w:right="0" w:hanging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8. OBRIGAÇÕES DA CONTRATADA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12 (doze) horas que antecede a data da entrega/execução, os motivos que impossibilitem o cumprimento do prazo previsto, com a devida comprovação.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8.9.Durante a execução da ata de registro de preços, a CONTRATADA deverá: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das Secretarias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 entrega dos materiais, nas quantidades e especificações deste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A nota fiscal deverá ser acompanhada pelas Certidões de Regularidades Fiscais.</w:t>
      </w:r>
      <w:bookmarkStart w:id="0" w:name="art120"/>
      <w:bookmarkStart w:id="1" w:name="art1232"/>
      <w:bookmarkStart w:id="2" w:name="art121"/>
      <w:bookmarkStart w:id="3" w:name="_GoBack2"/>
      <w:bookmarkStart w:id="4" w:name="art122%252525252525252525252525252525252"/>
      <w:bookmarkStart w:id="5" w:name="art122%252525252525252525252525252525251"/>
      <w:bookmarkStart w:id="6" w:name="art122%252525252525252525252525252525253"/>
      <w:bookmarkStart w:id="7" w:name="art1222"/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Será designado representante para acompanhar e fiscalizar a entrega dos materiais,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9.3. O representante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secretaria requisitante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anotará em registro próprio todas as ocorrências relacionadas com a execução da ata de registro de preços, indicando dia, mês e ano, bem como o nome dos funcionários eventualmente envolvidos, determinando o que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for necessário à regularização das falhas ou </w:t>
      </w:r>
      <w:r>
        <w:rPr>
          <w:rFonts w:ascii="Verdana" w:hAnsi="Verdana"/>
          <w:color w:val="000000"/>
          <w:sz w:val="20"/>
          <w:szCs w:val="20"/>
        </w:rPr>
        <w:t>defeitos observados e encaminhando os apontamentos à autoridade competente para as providências cabíveis.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 CRITÉRIOS DE PAGAMENTO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left="-22" w:right="0" w:hanging="0"/>
        <w:jc w:val="both"/>
        <w:rPr/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left="-22" w:right="0" w:hanging="0"/>
        <w:jc w:val="both"/>
        <w:rPr/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40"/>
        <w:ind w:left="-79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40"/>
        <w:ind w:left="-79" w:right="0" w:hanging="0"/>
        <w:jc w:val="both"/>
        <w:rPr/>
      </w:pPr>
      <w:r>
        <w:rPr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Fonts w:ascii="Verdana" w:hAnsi="Verdana"/>
            <w:b w:val="false"/>
            <w:bCs w:val="false"/>
            <w:color w:val="000000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color w:val="000000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10.11. 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 xml:space="preserve">VM = VF </w:t>
      </w:r>
      <w:r>
        <w:rPr>
          <w:rFonts w:cs="Verdana" w:ascii="Verdana" w:hAnsi="Verdana"/>
          <w:color w:val="000000"/>
          <w:sz w:val="20"/>
          <w:szCs w:val="20"/>
          <w:vertAlign w:val="subscript"/>
        </w:rPr>
        <w:t>*</w:t>
      </w:r>
      <w:r>
        <w:rPr>
          <w:rFonts w:cs="Verdana" w:ascii="Verdana" w:hAnsi="Verdana"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color w:val="000000"/>
          <w:sz w:val="20"/>
          <w:szCs w:val="20"/>
          <w:u w:val="single"/>
        </w:rPr>
        <w:t>0,33</w:t>
      </w:r>
      <w:r>
        <w:rPr>
          <w:rFonts w:cs="Verdana" w:ascii="Verdana" w:hAnsi="Verdana"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color w:val="000000"/>
          <w:sz w:val="20"/>
          <w:szCs w:val="20"/>
          <w:vertAlign w:val="subscript"/>
        </w:rPr>
        <w:t>*</w:t>
      </w:r>
      <w:r>
        <w:rPr>
          <w:rFonts w:cs="Verdana" w:ascii="Verdana" w:hAnsi="Verdana"/>
          <w:color w:val="000000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 xml:space="preserve">        </w:t>
      </w:r>
      <w:r>
        <w:rPr>
          <w:rFonts w:cs="Verdana" w:ascii="Verdana" w:hAnsi="Verdana"/>
          <w:color w:val="000000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bidi="ar-SA"/>
        </w:rPr>
        <w:t xml:space="preserve">10.15.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lang w:eastAsia="pt-BR"/>
        </w:rPr>
        <w:t>condições relativas à proposta de preço e a habilitação;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color w:val="000000"/>
          <w:sz w:val="20"/>
          <w:szCs w:val="20"/>
        </w:rPr>
        <w:t>. DAS SANÇÕES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 Comete infração administrativa o fornecedor que cometer quaisquer das infrações previstas no art. 155 da Lei nº 14.133, de 2021, quais sejam: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.1.3. Dar causa à inexecução total;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.1.8. Apresentar declaração ou documentação falsa exigida para o certame ou prestar declaração falsa durante a licitação ou a execução do objeto.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11.1.9. Fraudar a licitação ou praticar ato fraudulento na execução do objeto.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.1.10.1. Considera-se comportamento inidôneo, entre outros, a declaração falsa quanto</w:t>
      </w:r>
      <w:r>
        <w:rPr>
          <w:rFonts w:ascii="Verdana" w:hAnsi="Verdana"/>
          <w:iCs/>
          <w:color w:val="000000"/>
          <w:sz w:val="20"/>
          <w:szCs w:val="20"/>
        </w:rPr>
        <w:t xml:space="preserve"> às condições de participação, quanto ao enquadramento como ME/EPP ou o conluio entre os fornecedores, em qualquer momento da licitação, mesmo após o encerramento da fase de lances.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iCs/>
          <w:color w:val="000000"/>
          <w:sz w:val="20"/>
          <w:szCs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</w:t>
      </w:r>
      <w:r>
        <w:rPr>
          <w:rFonts w:ascii="Verdana" w:hAnsi="Verdana"/>
          <w:iCs/>
          <w:color w:val="000000"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40"/>
        <w:ind w:left="-57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   </w:t>
      </w:r>
      <w:r>
        <w:rPr>
          <w:rFonts w:ascii="Verdana" w:hAnsi="Verdana"/>
          <w:iCs/>
          <w:color w:val="000000"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color w:val="000000"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40"/>
        <w:ind w:left="-57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           </w:t>
      </w:r>
      <w:r>
        <w:rPr>
          <w:rFonts w:ascii="Verdana" w:hAnsi="Verdana"/>
          <w:iCs/>
          <w:color w:val="000000"/>
          <w:sz w:val="20"/>
          <w:szCs w:val="20"/>
        </w:rPr>
        <w:t>b.1) O valor da multa poderá ser descontado das faturas devidas à CONTRATADA;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            </w:t>
      </w:r>
      <w:r>
        <w:rPr>
          <w:rFonts w:ascii="Verdana" w:hAnsi="Verdana"/>
          <w:iCs/>
          <w:color w:val="000000"/>
          <w:sz w:val="20"/>
          <w:szCs w:val="20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</w:t>
      </w:r>
      <w:r>
        <w:rPr>
          <w:rFonts w:ascii="Verdana" w:hAnsi="Verdana"/>
          <w:iCs/>
          <w:color w:val="000000"/>
          <w:sz w:val="20"/>
          <w:szCs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         </w:t>
      </w:r>
      <w:r>
        <w:rPr>
          <w:rFonts w:ascii="Verdana" w:hAnsi="Verdana"/>
          <w:iCs/>
          <w:color w:val="000000"/>
          <w:sz w:val="20"/>
          <w:szCs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11.3.2. As peculiaridades do caso concreto.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.3.5.</w:t>
      </w:r>
      <w:r>
        <w:rPr>
          <w:rFonts w:ascii="Verdana" w:hAnsi="Verdana"/>
          <w:iCs/>
          <w:color w:val="000000"/>
          <w:sz w:val="20"/>
          <w:szCs w:val="20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color w:val="000000"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spacing w:lineRule="auto" w:line="240"/>
        <w:ind w:left="-79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40" w:before="57" w:after="57"/>
        <w:ind w:left="-57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);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).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12.1.2. </w:t>
      </w:r>
      <w:r>
        <w:rPr>
          <w:rFonts w:cs="Verdana" w:ascii="Verdana" w:hAnsi="Verdana"/>
          <w:color w:val="000000"/>
          <w:sz w:val="20"/>
          <w:szCs w:val="20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 xml:space="preserve">12.2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Caso atendidas as condições de participação, 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 O descumprimento do subitem acima implicará a inabilitação do licitante, exceto se a co</w:t>
      </w:r>
      <w:r>
        <w:rPr>
          <w:rFonts w:cs="Verdana" w:ascii="Verdana" w:hAnsi="Verdana"/>
          <w:color w:val="000000"/>
          <w:sz w:val="20"/>
          <w:szCs w:val="20"/>
        </w:rPr>
        <w:t>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0" w:after="0"/>
        <w:ind w:left="0" w:right="0"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12.7 R</w:t>
      </w:r>
      <w:r>
        <w:rPr>
          <w:rFonts w:cs="Verdana" w:ascii="Verdana" w:hAnsi="Verdana"/>
          <w:color w:val="000000"/>
          <w:sz w:val="20"/>
          <w:szCs w:val="20"/>
        </w:rPr>
        <w:t>essalvado o disposto no item 5.3, os licitantes deverão encaminhar, nos termos deste Edital, a documentação relacionada nos itens a seguir, para fins de habilitação: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0" w:after="0"/>
        <w:ind w:left="0" w:right="0" w:hanging="0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ab/>
        <w:t>12.8 Habilitação jurídica: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12.8.6 No </w:t>
      </w:r>
      <w:r>
        <w:rPr>
          <w:rFonts w:cs="Verdana" w:ascii="Verdana" w:hAnsi="Verdana"/>
          <w:bCs/>
          <w:color w:val="000000"/>
          <w:sz w:val="20"/>
          <w:szCs w:val="20"/>
        </w:rPr>
        <w:t>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 caso de empresa ou sociedade estrangeira em funcionamento no País: decreto de autorização;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Os documentos acima deverão estar acompanhados de todas as alterações ou da consolidação respectiva;</w:t>
      </w:r>
    </w:p>
    <w:p>
      <w:pPr>
        <w:pStyle w:val="ListParagraph"/>
        <w:spacing w:lineRule="auto" w:line="240"/>
        <w:ind w:left="0" w:right="0" w:hanging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ab/>
        <w:t>12.9 Regularidade fiscal e trabalhista: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12.9.2 Certidão de regularidade junto à fazenda pública Municipal, do domicílio do Licitante;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12.9.3 Certidão de regularidade junto à fazenda pública Estadual, do domicílio do Licitante;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12.9.5 Certidão de regularidade junto ao FGTS;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>
        <w:rPr>
          <w:rFonts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ab/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</w:t>
      </w:r>
      <w:r>
        <w:rPr>
          <w:rFonts w:cs="Verdana" w:ascii="Verdana" w:hAnsi="Verdana"/>
          <w:color w:val="000000"/>
          <w:sz w:val="20"/>
          <w:szCs w:val="20"/>
        </w:rPr>
        <w:t>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left="-57" w:right="0" w:hanging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left="-79" w:right="0" w:hanging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left="-79" w:right="0" w:hanging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57" w:after="57"/>
        <w:ind w:left="-113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13. </w:t>
      </w:r>
      <w:r>
        <w:rPr>
          <w:rFonts w:cs="Arial" w:ascii="Verdana" w:hAnsi="Verdana"/>
          <w:b/>
          <w:bCs w:val="false"/>
          <w:color w:val="000000"/>
          <w:sz w:val="20"/>
          <w:szCs w:val="20"/>
        </w:rPr>
        <w:t>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true"/>
        <w:bidi w:val="0"/>
        <w:spacing w:lineRule="auto" w:line="240" w:before="0" w:after="0"/>
        <w:ind w:left="-57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13.1. Não se verifica contratações correlatas ou interdependentes para a viabilidade e contratação desta demanda.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true"/>
        <w:bidi w:val="0"/>
        <w:spacing w:lineRule="auto" w:line="240" w:before="0" w:after="0"/>
        <w:ind w:left="-57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14. RESULTADOS PRETENDIDOS COM A CONTRATAÇÃO</w:t>
      </w:r>
    </w:p>
    <w:p>
      <w:pPr>
        <w:pStyle w:val="Padro1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Melhoria no atendimento ao cidadão.</w:t>
      </w:r>
    </w:p>
    <w:p>
      <w:pPr>
        <w:pStyle w:val="Padro1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Agilidade na aquisição.</w:t>
      </w:r>
    </w:p>
    <w:p>
      <w:pPr>
        <w:pStyle w:val="Padro1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Melhor planejamento dos serviços diários.</w:t>
      </w:r>
    </w:p>
    <w:p>
      <w:pPr>
        <w:pStyle w:val="Padro1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  <w:shd w:fill="auto" w:val="clear"/>
        </w:rPr>
        <w:t>Melhoria no atendimento dos pedidos de todas as Secretarias.</w:t>
      </w:r>
    </w:p>
    <w:p>
      <w:pPr>
        <w:pStyle w:val="Padro1"/>
        <w:numPr>
          <w:ilvl w:val="0"/>
          <w:numId w:val="0"/>
        </w:numPr>
        <w:spacing w:lineRule="auto" w:line="240" w:before="0" w:after="0"/>
        <w:ind w:left="720" w:hanging="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ascii="Verdana" w:hAnsi="Verdana"/>
          <w:b w:val="false"/>
          <w:bCs w:val="false"/>
          <w:kern w:val="0"/>
          <w:sz w:val="20"/>
          <w:szCs w:val="20"/>
          <w:shd w:fill="auto" w:val="clear"/>
          <w:lang w:val="pt-BR" w:eastAsia="zh-CN" w:bidi="ar-SA"/>
        </w:rPr>
        <w:t>15.1. A Administração Pública contará com as Secretarias requisitantes responsável por acompanhar a entrega dos produtos, bem como conferência das especificações descritas no ETP.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zh-CN" w:bidi="ar-SA"/>
        </w:rPr>
        <w:t>16.1. 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17. DECLARAÇÕES DE VIABILIDADE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17.1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18. JUSTIFICATIVAS DA VIABILIDADE</w:t>
      </w:r>
    </w:p>
    <w:p>
      <w:pPr>
        <w:pStyle w:val="Corpodotexto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18.1. 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19. ADEQUAÇÃO ORÇAMENTÁRIA 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19.1.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240" w:before="0" w:after="246"/>
        <w:ind w:left="36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  <w:shd w:fill="auto" w:val="clear"/>
        </w:rPr>
        <w:t>Secretaria Municipal de Obras e Desenvolvimento Urbano FICHA – FONTE: 00178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-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>15000000000 o valor de R$ 174.187,50 (cento e setenta e quatro mil cento e oitenta e sete reais e cinquenta centavos)</w:t>
      </w:r>
    </w:p>
    <w:p>
      <w:pPr>
        <w:pStyle w:val="Normal"/>
        <w:spacing w:lineRule="auto" w:line="240" w:before="0" w:after="246"/>
        <w:ind w:left="360" w:right="0" w:hanging="0"/>
        <w:jc w:val="both"/>
        <w:rPr>
          <w:rFonts w:ascii="Verdana" w:hAnsi="Verdana" w:cs="Arial"/>
          <w:color w:val="000000"/>
          <w:sz w:val="20"/>
          <w:szCs w:val="20"/>
          <w:shd w:fill="auto" w:val="clear"/>
        </w:rPr>
      </w:pPr>
      <w:r>
        <w:rPr>
          <w:rFonts w:cs="Arial" w:ascii="Verdana" w:hAnsi="Verdana"/>
          <w:color w:val="000000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20. DOS RESPONSÁVEIS PELA ELABORAÇÃO DO TERMO DE REFERÊNCIA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20.1.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shd w:fill="auto" w:val="clear"/>
        </w:rPr>
        <w:t>São Gabriel da Palha, 14 de maio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ascii="Verdana" w:hAnsi="Verdana"/>
          <w:color w:val="000000"/>
          <w:sz w:val="20"/>
          <w:szCs w:val="20"/>
          <w:shd w:fill="auto" w:val="clear"/>
        </w:rPr>
        <w:t>de 2025</w:t>
      </w:r>
    </w:p>
    <w:p>
      <w:pPr>
        <w:pStyle w:val="Normal"/>
        <w:spacing w:lineRule="auto" w:line="240"/>
        <w:jc w:val="right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bookmarkStart w:id="8" w:name="_GoBack"/>
      <w:bookmarkStart w:id="9" w:name="_GoBack1"/>
      <w:bookmarkEnd w:id="8"/>
      <w:bookmarkEnd w:id="9"/>
      <w:r>
        <w:rPr>
          <w:rFonts w:cs="Arial" w:ascii="Verdana" w:hAnsi="Verdana"/>
          <w:b/>
          <w:bCs/>
          <w:color w:val="000000"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10" w:name="art122%252525252525252525252525252525254"/>
      <w:bookmarkStart w:id="11" w:name="art122%252525252525252525252525252525255"/>
      <w:bookmarkStart w:id="12" w:name="art122%252525252525252525252525252525256"/>
      <w:bookmarkStart w:id="13" w:name="art122%252525252525252525252525252525257"/>
      <w:bookmarkStart w:id="14" w:name="art122%252525252525252525252525252525258"/>
      <w:bookmarkStart w:id="15" w:name="_Hlk1575167001"/>
      <w:bookmarkEnd w:id="10"/>
      <w:bookmarkEnd w:id="11"/>
      <w:bookmarkEnd w:id="12"/>
      <w:bookmarkEnd w:id="13"/>
      <w:bookmarkEnd w:id="14"/>
      <w:bookmarkEnd w:id="15"/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 w:val="false"/>
          <w:bCs w:val="false"/>
          <w:sz w:val="20"/>
          <w:szCs w:val="20"/>
          <w:u w:val="singl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bookmarkStart w:id="16" w:name="art122%252525252525252525252525252525259"/>
      <w:bookmarkStart w:id="17" w:name="art122%252525252525252525252525252525259"/>
      <w:bookmarkEnd w:id="17"/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val="365F91" w:themeColor="accent1" w:themeShade="bf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LinkdaInternet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val="365F91" w:themeColor="accent1" w:themeShade="bf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Linkdainternetvisitado">
    <w:name w:val="FollowedHyperlink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Ttulo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 w:themeColor="accent1" w:themeShade="bf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Ttulo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val="000000" w:themeColor="accent1" w:themeShade="bf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dro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Application>LibreOffice/7.5.7.1$Windows_X86_64 LibreOffice_project/47eb0cf7efbacdee9b19ae25d6752381ede23126</Application>
  <AppVersion>15.0000</AppVersion>
  <Pages>10</Pages>
  <Words>4675</Words>
  <Characters>26635</Characters>
  <CharactersWithSpaces>31107</CharactersWithSpaces>
  <Paragraphs>338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2024-11-06T17:12:32Z</cp:lastPrinted>
  <dcterms:modified xsi:type="dcterms:W3CDTF">2025-06-09T14:36:19Z</dcterms:modified>
  <cp:revision>169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